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44" w:rsidRPr="00F52124" w:rsidRDefault="002729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272944" w:rsidRPr="00F52124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4" w:rsidRPr="00F52124" w:rsidRDefault="00995F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F52124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272944" w:rsidRPr="00F52124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4" w:rsidRPr="00F52124" w:rsidRDefault="00995F1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F52124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F52124">
              <w:rPr>
                <w:rFonts w:eastAsia="Arial"/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4" w:rsidRPr="00F52124" w:rsidRDefault="00995F1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F52124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F52124">
              <w:rPr>
                <w:rFonts w:eastAsia="Arial"/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4" w:rsidRPr="00F52124" w:rsidRDefault="00995F1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52124">
              <w:rPr>
                <w:rFonts w:eastAsia="Arial"/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272944" w:rsidRPr="00F52124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4" w:rsidRPr="00F52124" w:rsidRDefault="00995F1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52124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4" w:rsidRPr="00F52124" w:rsidRDefault="00272944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4" w:rsidRPr="00F52124" w:rsidRDefault="0099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52124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272944" w:rsidRPr="00F52124" w:rsidRDefault="00272944">
      <w:pP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:rsidR="00272944" w:rsidRPr="00F52124" w:rsidRDefault="00995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142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b/>
          <w:color w:val="000000"/>
          <w:sz w:val="24"/>
          <w:szCs w:val="24"/>
        </w:rPr>
        <w:t>AMAÇ</w:t>
      </w:r>
    </w:p>
    <w:p w:rsidR="00272944" w:rsidRPr="00F52124" w:rsidRDefault="00995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Bu doküman, </w:t>
      </w:r>
      <w:r w:rsidR="00DE2542" w:rsidRPr="00F52124">
        <w:rPr>
          <w:rFonts w:eastAsia="Tahoma"/>
          <w:b/>
          <w:color w:val="000000"/>
          <w:sz w:val="24"/>
          <w:szCs w:val="24"/>
        </w:rPr>
        <w:t>Afyon Kocatepe</w:t>
      </w:r>
      <w:r w:rsidRPr="00F52124">
        <w:rPr>
          <w:rFonts w:eastAsia="Tahoma"/>
          <w:b/>
          <w:color w:val="000000"/>
          <w:sz w:val="24"/>
          <w:szCs w:val="24"/>
        </w:rPr>
        <w:t xml:space="preserve"> Üniversites</w:t>
      </w:r>
      <w:r w:rsidR="00C05EC0">
        <w:rPr>
          <w:rFonts w:eastAsia="Tahoma"/>
          <w:b/>
          <w:color w:val="000000"/>
          <w:sz w:val="24"/>
          <w:szCs w:val="24"/>
        </w:rPr>
        <w:t xml:space="preserve">i Bilgi İşlem Daire Başkanlığının </w:t>
      </w:r>
      <w:r w:rsidRPr="00F52124">
        <w:rPr>
          <w:rFonts w:eastAsia="Tahoma"/>
          <w:color w:val="000000"/>
          <w:sz w:val="24"/>
          <w:szCs w:val="24"/>
        </w:rPr>
        <w:t xml:space="preserve">internet kullanım politikasını tanımlamaktadır.  </w:t>
      </w:r>
    </w:p>
    <w:p w:rsidR="00272944" w:rsidRPr="00F52124" w:rsidRDefault="00995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      </w:t>
      </w:r>
    </w:p>
    <w:p w:rsidR="00272944" w:rsidRPr="00F52124" w:rsidRDefault="00995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142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b/>
          <w:color w:val="000000"/>
          <w:sz w:val="24"/>
          <w:szCs w:val="24"/>
        </w:rPr>
        <w:t>KAPSAM</w:t>
      </w:r>
    </w:p>
    <w:p w:rsidR="00272944" w:rsidRPr="00F52124" w:rsidRDefault="00995F1D" w:rsidP="00DE254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Bu politika </w:t>
      </w:r>
      <w:r w:rsidR="00DE2542" w:rsidRPr="00F52124">
        <w:rPr>
          <w:rFonts w:eastAsia="Tahoma"/>
          <w:color w:val="000000"/>
          <w:sz w:val="24"/>
          <w:szCs w:val="24"/>
        </w:rPr>
        <w:t>kurum</w:t>
      </w:r>
      <w:r w:rsidRPr="00F52124">
        <w:rPr>
          <w:rFonts w:eastAsia="Tahoma"/>
          <w:color w:val="000000"/>
          <w:sz w:val="24"/>
          <w:szCs w:val="24"/>
        </w:rPr>
        <w:t xml:space="preserve"> içinde </w:t>
      </w:r>
      <w:r w:rsidR="00C61FC4" w:rsidRPr="00F52124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F52124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F52124">
        <w:rPr>
          <w:rFonts w:eastAsia="Tahoma"/>
          <w:color w:val="000000"/>
          <w:sz w:val="24"/>
          <w:szCs w:val="24"/>
        </w:rPr>
        <w:t xml:space="preserve">ağını kullanarak iletişim yapan tüm kullanıcılar içindir.   </w:t>
      </w:r>
      <w:r w:rsidR="00C61FC4" w:rsidRPr="00F52124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F52124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F52124">
        <w:rPr>
          <w:rFonts w:eastAsia="Tahoma"/>
          <w:color w:val="000000"/>
          <w:sz w:val="24"/>
          <w:szCs w:val="24"/>
        </w:rPr>
        <w:t>bilişim ağı ve cihazlarının kullanılmadığı durumlar kapsam dışıdır.</w:t>
      </w:r>
    </w:p>
    <w:p w:rsidR="00272944" w:rsidRPr="00F52124" w:rsidRDefault="00995F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   </w:t>
      </w:r>
    </w:p>
    <w:p w:rsidR="00272944" w:rsidRPr="00F52124" w:rsidRDefault="00995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142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b/>
          <w:color w:val="000000"/>
          <w:sz w:val="24"/>
          <w:szCs w:val="24"/>
        </w:rPr>
        <w:t>UYGULAMA</w:t>
      </w:r>
    </w:p>
    <w:p w:rsidR="00272944" w:rsidRPr="00F52124" w:rsidRDefault="0099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>İnternet bağlantısı (</w:t>
      </w:r>
      <w:r w:rsidR="00C61FC4" w:rsidRPr="00F52124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F52124">
        <w:rPr>
          <w:rFonts w:eastAsia="Tahoma"/>
          <w:b/>
          <w:color w:val="000000"/>
          <w:sz w:val="24"/>
          <w:szCs w:val="24"/>
        </w:rPr>
        <w:t>Üniversitesi Bilgi İşlem Daire Başkanlığı</w:t>
      </w:r>
      <w:r w:rsidRPr="00F52124">
        <w:rPr>
          <w:rFonts w:eastAsia="Tahoma"/>
          <w:color w:val="000000"/>
          <w:sz w:val="24"/>
          <w:szCs w:val="24"/>
        </w:rPr>
        <w:t>)’</w:t>
      </w:r>
      <w:proofErr w:type="spellStart"/>
      <w:proofErr w:type="gramStart"/>
      <w:r w:rsidRPr="00F52124">
        <w:rPr>
          <w:rFonts w:eastAsia="Tahoma"/>
          <w:color w:val="000000"/>
          <w:sz w:val="24"/>
          <w:szCs w:val="24"/>
        </w:rPr>
        <w:t>nın</w:t>
      </w:r>
      <w:proofErr w:type="spellEnd"/>
      <w:r w:rsidRPr="00F52124">
        <w:rPr>
          <w:rFonts w:eastAsia="Tahoma"/>
          <w:color w:val="000000"/>
          <w:sz w:val="24"/>
          <w:szCs w:val="24"/>
        </w:rPr>
        <w:t xml:space="preserve">  resmi</w:t>
      </w:r>
      <w:proofErr w:type="gramEnd"/>
      <w:r w:rsidRPr="00F52124">
        <w:rPr>
          <w:rFonts w:eastAsia="Tahoma"/>
          <w:color w:val="000000"/>
          <w:sz w:val="24"/>
          <w:szCs w:val="24"/>
        </w:rPr>
        <w:t xml:space="preserve"> internet bağlantısı üzerinden gerçekleştirilecektir. </w:t>
      </w:r>
    </w:p>
    <w:p w:rsidR="00272944" w:rsidRPr="00F52124" w:rsidRDefault="00C61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b/>
          <w:color w:val="000000"/>
          <w:sz w:val="24"/>
          <w:szCs w:val="24"/>
        </w:rPr>
        <w:t>Afyon Kocatepe</w:t>
      </w:r>
      <w:r w:rsidR="00995F1D" w:rsidRPr="00F52124">
        <w:rPr>
          <w:rFonts w:eastAsia="Tahoma"/>
          <w:b/>
          <w:color w:val="000000"/>
          <w:sz w:val="24"/>
          <w:szCs w:val="24"/>
        </w:rPr>
        <w:t xml:space="preserve"> Üniversitesi Bilgi İşlem Daire Başkanlığı </w:t>
      </w:r>
      <w:r w:rsidR="00995F1D" w:rsidRPr="00F52124">
        <w:rPr>
          <w:rFonts w:eastAsia="Tahoma"/>
          <w:color w:val="000000"/>
          <w:sz w:val="24"/>
          <w:szCs w:val="24"/>
        </w:rPr>
        <w:t xml:space="preserve">ağı üzerinden internet kullanımı sırasında, hiç kimse kuruluş kaynaklarını kullanarak kendi kimliğini gizleyici ve başkalarına zarar verici, onları tehdit edici, uluslararası ve ulusal yasal hakları ihlal edici iletişim faaliyetlerinde bulunamaz. </w:t>
      </w:r>
    </w:p>
    <w:p w:rsidR="00272944" w:rsidRPr="00F52124" w:rsidRDefault="0099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 Hiç bir </w:t>
      </w:r>
      <w:r w:rsidR="00C61FC4" w:rsidRPr="00F52124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F52124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F52124">
        <w:rPr>
          <w:rFonts w:eastAsia="Tahoma"/>
          <w:color w:val="000000"/>
          <w:sz w:val="24"/>
          <w:szCs w:val="24"/>
        </w:rPr>
        <w:t xml:space="preserve">personeli, kuruluş kaynaklarını kullanarak Internet üzerinde kişisel reklâm, kişisel satış faaliyetinde bulunamaz. </w:t>
      </w:r>
    </w:p>
    <w:p w:rsidR="00272944" w:rsidRPr="00F52124" w:rsidRDefault="00995F1D" w:rsidP="00DE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lastRenderedPageBreak/>
        <w:t xml:space="preserve">İnternet üzerinden, standartlarda belirtilenlerden daha büyük uzunluktaki dosya transfer ve yükleme işlemi için </w:t>
      </w:r>
      <w:r w:rsidR="00C61FC4" w:rsidRPr="00F52124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F52124">
        <w:rPr>
          <w:rFonts w:eastAsia="Tahoma"/>
          <w:b/>
          <w:color w:val="000000"/>
          <w:sz w:val="24"/>
          <w:szCs w:val="24"/>
        </w:rPr>
        <w:t>Üniversites</w:t>
      </w:r>
      <w:r w:rsidR="00C05EC0">
        <w:rPr>
          <w:rFonts w:eastAsia="Tahoma"/>
          <w:b/>
          <w:color w:val="000000"/>
          <w:sz w:val="24"/>
          <w:szCs w:val="24"/>
        </w:rPr>
        <w:t xml:space="preserve">i Bilgi İşlem Daire Başkanlığı </w:t>
      </w:r>
      <w:r w:rsidRPr="00F52124">
        <w:rPr>
          <w:rFonts w:eastAsia="Tahoma"/>
          <w:color w:val="000000"/>
          <w:sz w:val="24"/>
          <w:szCs w:val="24"/>
        </w:rPr>
        <w:t>Sistem Uzmanından izin alınmalıdır.</w:t>
      </w:r>
    </w:p>
    <w:p w:rsidR="00272944" w:rsidRPr="00F52124" w:rsidRDefault="00DE2542" w:rsidP="00DE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>Kurum</w:t>
      </w:r>
      <w:r w:rsidR="00995F1D" w:rsidRPr="00F52124">
        <w:rPr>
          <w:rFonts w:eastAsia="Tahoma"/>
          <w:color w:val="000000"/>
          <w:sz w:val="24"/>
          <w:szCs w:val="24"/>
        </w:rPr>
        <w:t xml:space="preserve"> tarafından konu bazında yasaklanmış web sitelerini ziyaret etmek suç sayılır.</w:t>
      </w:r>
    </w:p>
    <w:p w:rsidR="00272944" w:rsidRPr="00F52124" w:rsidRDefault="0099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Çalışanların kişisel sohbet hesaplarını ve sosyal medya hesaplarını işlerini aksatmayacak şekilde kullanmalarında herhangi bir sakınca bulunmamaktadır. </w:t>
      </w:r>
    </w:p>
    <w:p w:rsidR="00272944" w:rsidRPr="00F52124" w:rsidRDefault="00995F1D" w:rsidP="00DE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“Hassas” , “Gizli”  ve “Çok Gizli” tanımlı bilgiler (kurum içi ve kurum dışı), Internet NetMeeting veya İnternet Telefon özellikli programlar kullanılarak tartışılamaz. </w:t>
      </w:r>
    </w:p>
    <w:p w:rsidR="00272944" w:rsidRPr="00F52124" w:rsidRDefault="00995F1D" w:rsidP="00DE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İnternet üzerinden başkalarına ait gizli ve özel bilgiler yayınlanamaz. </w:t>
      </w:r>
    </w:p>
    <w:p w:rsidR="00272944" w:rsidRPr="00F52124" w:rsidRDefault="00C61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b/>
          <w:color w:val="000000"/>
          <w:sz w:val="24"/>
          <w:szCs w:val="24"/>
        </w:rPr>
        <w:t xml:space="preserve">Afyon Kocatepe </w:t>
      </w:r>
      <w:r w:rsidR="00995F1D" w:rsidRPr="00F52124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="00995F1D" w:rsidRPr="00F52124">
        <w:rPr>
          <w:rFonts w:eastAsia="Tahoma"/>
          <w:color w:val="000000"/>
          <w:sz w:val="24"/>
          <w:szCs w:val="24"/>
        </w:rPr>
        <w:t xml:space="preserve">bilişim ağında iken, tüm kullanıcılar bağlanacakları web sitelerinin ve yükleyecekleri dosyaların kimliğini denetlemek ve doğrulamakla yükümlüdür. </w:t>
      </w:r>
    </w:p>
    <w:p w:rsidR="00272944" w:rsidRPr="00F52124" w:rsidRDefault="00995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>Halka açık ağlar üzerinden geçen uygulama hizmetlerindeki bilgi, hileli faaliyetlerden, sözleşme ihtilafından ve yetkisiz ifşadan ve değiştirmeden korunmalıdır.</w:t>
      </w:r>
      <w:r w:rsidR="00DE2542" w:rsidRPr="00F52124">
        <w:rPr>
          <w:rFonts w:eastAsia="Tahoma"/>
          <w:color w:val="000000"/>
          <w:sz w:val="24"/>
          <w:szCs w:val="24"/>
        </w:rPr>
        <w:t xml:space="preserve"> </w:t>
      </w:r>
      <w:r w:rsidRPr="00F52124">
        <w:rPr>
          <w:rFonts w:eastAsia="Tahoma"/>
          <w:color w:val="000000"/>
          <w:sz w:val="24"/>
          <w:szCs w:val="24"/>
        </w:rPr>
        <w:t>Uygulama hizmet işlemlerindeki bilgi eksik iletim, yanlış yönlendirme, yetkisiz mesaj değiştirme, yetkisiz ifşayı, yetkisiz mesaj çoğaltma ya da mesajı yeniden oluşturmayı önlemek için korunmalıdır.</w:t>
      </w:r>
    </w:p>
    <w:p w:rsidR="00272944" w:rsidRPr="00F52124" w:rsidRDefault="00995F1D" w:rsidP="00DE2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İnternet ortamında, </w:t>
      </w:r>
      <w:r w:rsidR="00DE2542" w:rsidRPr="00F52124">
        <w:rPr>
          <w:rFonts w:eastAsia="Tahoma"/>
          <w:b/>
          <w:color w:val="000000"/>
          <w:sz w:val="24"/>
          <w:szCs w:val="24"/>
        </w:rPr>
        <w:t>Afyon Kocatepe</w:t>
      </w:r>
      <w:r w:rsidRPr="00F52124">
        <w:rPr>
          <w:rFonts w:eastAsia="Tahoma"/>
          <w:b/>
          <w:color w:val="000000"/>
          <w:sz w:val="24"/>
          <w:szCs w:val="24"/>
        </w:rPr>
        <w:t xml:space="preserve"> Üniversitesi Bilgi İşlem</w:t>
      </w:r>
      <w:r w:rsidR="00DE2542" w:rsidRPr="00F52124">
        <w:rPr>
          <w:rFonts w:eastAsia="Tahoma"/>
          <w:b/>
          <w:color w:val="000000"/>
          <w:sz w:val="24"/>
          <w:szCs w:val="24"/>
        </w:rPr>
        <w:t xml:space="preserve"> Daire Başkanlığı </w:t>
      </w:r>
      <w:r w:rsidRPr="00F52124">
        <w:rPr>
          <w:rFonts w:eastAsia="Tahoma"/>
          <w:color w:val="000000"/>
          <w:sz w:val="24"/>
          <w:szCs w:val="24"/>
        </w:rPr>
        <w:t xml:space="preserve">Yönetiminden yazılı izin alınmaksızın herhangi bir biçimde </w:t>
      </w:r>
      <w:r w:rsidR="00DE2542" w:rsidRPr="00F52124">
        <w:rPr>
          <w:rFonts w:eastAsia="Tahoma"/>
          <w:color w:val="000000"/>
          <w:sz w:val="24"/>
          <w:szCs w:val="24"/>
        </w:rPr>
        <w:t>kurum</w:t>
      </w:r>
      <w:r w:rsidRPr="00F52124">
        <w:rPr>
          <w:rFonts w:eastAsia="Tahoma"/>
          <w:color w:val="000000"/>
          <w:sz w:val="24"/>
          <w:szCs w:val="24"/>
        </w:rPr>
        <w:t xml:space="preserve"> adına beyanda ya da taahhütlerde bulunulamaz. </w:t>
      </w:r>
    </w:p>
    <w:p w:rsidR="00272944" w:rsidRPr="00F52124" w:rsidRDefault="00272944">
      <w:pPr>
        <w:tabs>
          <w:tab w:val="left" w:pos="90"/>
          <w:tab w:val="left" w:pos="426"/>
          <w:tab w:val="left" w:pos="540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:rsidR="00272944" w:rsidRPr="00F52124" w:rsidRDefault="00995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142" w:firstLine="0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b/>
          <w:color w:val="000000"/>
          <w:sz w:val="24"/>
          <w:szCs w:val="24"/>
        </w:rPr>
        <w:t xml:space="preserve">YAPTIRIM  </w:t>
      </w:r>
    </w:p>
    <w:p w:rsidR="00272944" w:rsidRPr="00F52124" w:rsidRDefault="00995F1D">
      <w:pPr>
        <w:widowControl w:val="0"/>
        <w:tabs>
          <w:tab w:val="left" w:pos="426"/>
        </w:tabs>
        <w:spacing w:before="34" w:line="360" w:lineRule="auto"/>
        <w:ind w:right="349"/>
        <w:jc w:val="both"/>
        <w:rPr>
          <w:rFonts w:eastAsia="Tahoma"/>
          <w:color w:val="000000"/>
          <w:sz w:val="24"/>
          <w:szCs w:val="24"/>
        </w:rPr>
      </w:pPr>
      <w:r w:rsidRPr="00F52124">
        <w:rPr>
          <w:rFonts w:eastAsia="Tahoma"/>
          <w:color w:val="000000"/>
          <w:sz w:val="24"/>
          <w:szCs w:val="24"/>
        </w:rPr>
        <w:t xml:space="preserve">Bu politikaya uygun olarak çalışmayan tüm personel hakkında </w:t>
      </w:r>
      <w:r w:rsidRPr="00F52124">
        <w:rPr>
          <w:rFonts w:eastAsia="Tahoma"/>
          <w:b/>
          <w:color w:val="0033CC"/>
          <w:sz w:val="24"/>
          <w:szCs w:val="24"/>
        </w:rPr>
        <w:t>Disiplin Prosedürü</w:t>
      </w:r>
      <w:r w:rsidRPr="00F52124">
        <w:rPr>
          <w:rFonts w:eastAsia="Tahoma"/>
          <w:color w:val="000000"/>
          <w:sz w:val="24"/>
          <w:szCs w:val="24"/>
        </w:rPr>
        <w:t xml:space="preserve"> hükümleri uygulanır.</w:t>
      </w:r>
    </w:p>
    <w:p w:rsidR="00272944" w:rsidRPr="00F52124" w:rsidRDefault="00272944">
      <w:pP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sectPr w:rsidR="00272944" w:rsidRPr="00F52124" w:rsidSect="00C05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93" w:rsidRDefault="00B61B93">
      <w:r>
        <w:separator/>
      </w:r>
    </w:p>
  </w:endnote>
  <w:endnote w:type="continuationSeparator" w:id="0">
    <w:p w:rsidR="00B61B93" w:rsidRDefault="00B6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C0" w:rsidRDefault="00C05E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C61FC4" w:rsidTr="009422AD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C61FC4" w:rsidRPr="003E6D8A" w:rsidRDefault="00C61FC4" w:rsidP="00C61FC4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C61FC4" w:rsidRPr="003E6D8A" w:rsidRDefault="00C61FC4" w:rsidP="00C61FC4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C61FC4" w:rsidRPr="003E6D8A" w:rsidRDefault="00C61FC4" w:rsidP="00C61FC4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:rsidR="00C61FC4" w:rsidRPr="003E6D8A" w:rsidRDefault="00C61FC4" w:rsidP="00C61FC4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C61FC4" w:rsidRPr="00C61FC4" w:rsidTr="009422AD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C61FC4" w:rsidRPr="00C61FC4" w:rsidRDefault="00C61FC4" w:rsidP="00C61FC4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C61FC4" w:rsidRPr="00C61FC4" w:rsidRDefault="00C61FC4" w:rsidP="00C61FC4">
          <w:pPr>
            <w:jc w:val="center"/>
            <w:rPr>
              <w:rFonts w:ascii="Arial" w:hAnsi="Arial" w:cs="Arial"/>
              <w:color w:val="auto"/>
            </w:rPr>
          </w:pPr>
          <w:r w:rsidRPr="00C61FC4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:rsidR="00C61FC4" w:rsidRPr="00C61FC4" w:rsidRDefault="00C61FC4" w:rsidP="00C61FC4">
          <w:pPr>
            <w:jc w:val="center"/>
            <w:rPr>
              <w:rFonts w:ascii="Arial" w:hAnsi="Arial" w:cs="Arial"/>
              <w:color w:val="auto"/>
            </w:rPr>
          </w:pPr>
          <w:r w:rsidRPr="00C61FC4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3021" w:type="dxa"/>
        </w:tcPr>
        <w:p w:rsidR="00C61FC4" w:rsidRPr="00C61FC4" w:rsidRDefault="00C61FC4" w:rsidP="00C61FC4">
          <w:pPr>
            <w:jc w:val="center"/>
            <w:rPr>
              <w:rFonts w:ascii="Arial" w:hAnsi="Arial" w:cs="Arial"/>
              <w:color w:val="auto"/>
            </w:rPr>
          </w:pPr>
          <w:r w:rsidRPr="00C61FC4">
            <w:rPr>
              <w:rFonts w:ascii="Arial" w:hAnsi="Arial" w:cs="Arial"/>
              <w:color w:val="auto"/>
            </w:rPr>
            <w:t>Üst Yönetim</w:t>
          </w:r>
        </w:p>
      </w:tc>
    </w:tr>
    <w:tr w:rsidR="00C61FC4" w:rsidRPr="00C61FC4" w:rsidTr="009422AD">
      <w:trPr>
        <w:cantSplit/>
        <w:trHeight w:val="1070"/>
      </w:trPr>
      <w:tc>
        <w:tcPr>
          <w:tcW w:w="2374" w:type="dxa"/>
          <w:vMerge/>
          <w:vAlign w:val="center"/>
        </w:tcPr>
        <w:p w:rsidR="00C61FC4" w:rsidRPr="00C61FC4" w:rsidRDefault="00C61FC4" w:rsidP="00C61FC4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C61FC4" w:rsidRPr="00C61FC4" w:rsidRDefault="00DB7423" w:rsidP="00C61FC4">
          <w:pPr>
            <w:jc w:val="center"/>
            <w:rPr>
              <w:rFonts w:ascii="Arial" w:hAnsi="Arial" w:cs="Arial"/>
              <w:color w:val="auto"/>
            </w:rPr>
          </w:pPr>
          <w:r>
            <w:rPr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:rsidR="00C61FC4" w:rsidRPr="00DB7423" w:rsidRDefault="00DB7423" w:rsidP="00C61FC4">
          <w:pPr>
            <w:jc w:val="center"/>
            <w:rPr>
              <w:color w:val="auto"/>
            </w:rPr>
          </w:pPr>
          <w:r>
            <w:rPr>
              <w:color w:val="auto"/>
            </w:rPr>
            <w:t>Bilgi İşlem Daire Başkanı</w:t>
          </w:r>
        </w:p>
      </w:tc>
      <w:tc>
        <w:tcPr>
          <w:tcW w:w="3021" w:type="dxa"/>
        </w:tcPr>
        <w:p w:rsidR="009422AD" w:rsidRPr="00DB7423" w:rsidRDefault="009422AD" w:rsidP="00C61FC4">
          <w:pPr>
            <w:pStyle w:val="DzMetin"/>
            <w:jc w:val="center"/>
            <w:rPr>
              <w:rFonts w:ascii="Times New Roman" w:eastAsia="Times New Roman" w:hAnsi="Times New Roman"/>
              <w:sz w:val="20"/>
              <w:szCs w:val="20"/>
              <w:lang w:val="tr-TR"/>
            </w:rPr>
          </w:pPr>
        </w:p>
        <w:p w:rsidR="00DB7423" w:rsidRDefault="00DB7423" w:rsidP="00C61FC4">
          <w:pPr>
            <w:pStyle w:val="DzMetin"/>
            <w:jc w:val="center"/>
            <w:rPr>
              <w:rFonts w:ascii="Times New Roman" w:eastAsia="Times New Roman" w:hAnsi="Times New Roman"/>
              <w:sz w:val="20"/>
              <w:szCs w:val="20"/>
              <w:lang w:val="tr-TR"/>
            </w:rPr>
          </w:pPr>
        </w:p>
        <w:p w:rsidR="00AB7EB2" w:rsidRPr="00DB7423" w:rsidRDefault="00C61FC4" w:rsidP="00C61FC4">
          <w:pPr>
            <w:pStyle w:val="DzMetin"/>
            <w:jc w:val="center"/>
            <w:rPr>
              <w:rFonts w:ascii="Times New Roman" w:eastAsia="Times New Roman" w:hAnsi="Times New Roman"/>
              <w:sz w:val="20"/>
              <w:szCs w:val="20"/>
              <w:lang w:val="tr-TR"/>
            </w:rPr>
          </w:pPr>
          <w:bookmarkStart w:id="0" w:name="_GoBack"/>
          <w:bookmarkEnd w:id="0"/>
          <w:r w:rsidRPr="00DB7423">
            <w:rPr>
              <w:rFonts w:ascii="Times New Roman" w:eastAsia="Times New Roman" w:hAnsi="Times New Roman"/>
              <w:sz w:val="20"/>
              <w:szCs w:val="20"/>
              <w:lang w:val="tr-TR"/>
            </w:rPr>
            <w:t xml:space="preserve">Rektör </w:t>
          </w:r>
        </w:p>
        <w:p w:rsidR="00C61FC4" w:rsidRPr="00DB7423" w:rsidRDefault="00C61FC4" w:rsidP="00DB7423">
          <w:pPr>
            <w:pStyle w:val="DzMetin"/>
            <w:jc w:val="center"/>
            <w:rPr>
              <w:rFonts w:ascii="Times New Roman" w:eastAsia="Times New Roman" w:hAnsi="Times New Roman"/>
              <w:sz w:val="20"/>
              <w:szCs w:val="20"/>
              <w:lang w:val="tr-TR"/>
            </w:rPr>
          </w:pPr>
        </w:p>
      </w:tc>
    </w:tr>
  </w:tbl>
  <w:p w:rsidR="00C61FC4" w:rsidRPr="00C61FC4" w:rsidRDefault="00C61FC4" w:rsidP="00C61FC4">
    <w:pPr>
      <w:pStyle w:val="a2"/>
    </w:pPr>
  </w:p>
  <w:p w:rsidR="00C61FC4" w:rsidRPr="00C61FC4" w:rsidRDefault="00C61FC4" w:rsidP="00C61FC4">
    <w:pPr>
      <w:pStyle w:val="a2"/>
    </w:pPr>
  </w:p>
  <w:p w:rsidR="00C61FC4" w:rsidRDefault="00C61FC4" w:rsidP="00C61FC4">
    <w:pPr>
      <w:pStyle w:val="a2"/>
    </w:pPr>
  </w:p>
  <w:p w:rsidR="00272944" w:rsidRPr="00C61FC4" w:rsidRDefault="00272944" w:rsidP="00C61F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C0" w:rsidRDefault="00C05E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93" w:rsidRDefault="00B61B93">
      <w:r>
        <w:separator/>
      </w:r>
    </w:p>
  </w:footnote>
  <w:footnote w:type="continuationSeparator" w:id="0">
    <w:p w:rsidR="00B61B93" w:rsidRDefault="00B6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C0" w:rsidRDefault="00C05E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44" w:rsidRDefault="002729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439"/>
    </w:tblGrid>
    <w:tr w:rsidR="00272944">
      <w:trPr>
        <w:trHeight w:val="260"/>
      </w:trPr>
      <w:tc>
        <w:tcPr>
          <w:tcW w:w="25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C05E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6DBE927E" wp14:editId="4306E409">
                <wp:extent cx="974785" cy="1026543"/>
                <wp:effectExtent l="0" t="0" r="0" b="2540"/>
                <wp:docPr id="1" name="Resim 1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672" cy="1026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SAYFA NO          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B7423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B7423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272944">
      <w:trPr>
        <w:trHeight w:val="26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2729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2729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DOKÜMAN NO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BGYS.PLT.08</w:t>
          </w:r>
        </w:p>
      </w:tc>
    </w:tr>
    <w:tr w:rsidR="00272944">
      <w:trPr>
        <w:trHeight w:val="26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2729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2729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YAYIN TAR.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1F279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07.01.2019</w:t>
          </w:r>
        </w:p>
      </w:tc>
    </w:tr>
    <w:tr w:rsidR="00272944">
      <w:trPr>
        <w:trHeight w:val="26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2729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2729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NO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00</w:t>
          </w:r>
        </w:p>
      </w:tc>
    </w:tr>
    <w:tr w:rsidR="00272944">
      <w:trPr>
        <w:trHeight w:val="28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2729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2729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TARİHİ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color w:val="000000"/>
            </w:rPr>
            <w:t>-</w:t>
          </w:r>
        </w:p>
      </w:tc>
    </w:tr>
    <w:tr w:rsidR="00272944">
      <w:trPr>
        <w:trHeight w:val="340"/>
      </w:trPr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711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2944" w:rsidRDefault="00995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İNTERNET KULLANIM POLİTİKASI</w:t>
          </w:r>
        </w:p>
      </w:tc>
    </w:tr>
  </w:tbl>
  <w:p w:rsidR="00272944" w:rsidRDefault="002729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C0" w:rsidRDefault="00C05E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B6B"/>
    <w:multiLevelType w:val="multilevel"/>
    <w:tmpl w:val="01C404B6"/>
    <w:lvl w:ilvl="0">
      <w:start w:val="1"/>
      <w:numFmt w:val="decimal"/>
      <w:lvlText w:val="%1."/>
      <w:lvlJc w:val="left"/>
      <w:pPr>
        <w:ind w:left="765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1">
    <w:nsid w:val="60851FBC"/>
    <w:multiLevelType w:val="multilevel"/>
    <w:tmpl w:val="60C605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944"/>
    <w:rsid w:val="001C2EC2"/>
    <w:rsid w:val="001F1B89"/>
    <w:rsid w:val="001F2799"/>
    <w:rsid w:val="00272944"/>
    <w:rsid w:val="00385412"/>
    <w:rsid w:val="003E5039"/>
    <w:rsid w:val="00525FC3"/>
    <w:rsid w:val="009422AD"/>
    <w:rsid w:val="00995F1D"/>
    <w:rsid w:val="00AB7EB2"/>
    <w:rsid w:val="00B61B93"/>
    <w:rsid w:val="00BB41E0"/>
    <w:rsid w:val="00BF29F9"/>
    <w:rsid w:val="00C0088A"/>
    <w:rsid w:val="00C05EC0"/>
    <w:rsid w:val="00C61FC4"/>
    <w:rsid w:val="00DB7423"/>
    <w:rsid w:val="00DE2542"/>
    <w:rsid w:val="00F45484"/>
    <w:rsid w:val="00F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1FC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FC4"/>
  </w:style>
  <w:style w:type="paragraph" w:styleId="Altbilgi">
    <w:name w:val="footer"/>
    <w:basedOn w:val="Normal"/>
    <w:link w:val="AltbilgiChar"/>
    <w:uiPriority w:val="99"/>
    <w:unhideWhenUsed/>
    <w:rsid w:val="00C61FC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FC4"/>
  </w:style>
  <w:style w:type="paragraph" w:customStyle="1" w:styleId="a2">
    <w:basedOn w:val="Normal"/>
    <w:next w:val="Altbilgi"/>
    <w:rsid w:val="00C61FC4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61FC4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61FC4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5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1FC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FC4"/>
  </w:style>
  <w:style w:type="paragraph" w:styleId="Altbilgi">
    <w:name w:val="footer"/>
    <w:basedOn w:val="Normal"/>
    <w:link w:val="AltbilgiChar"/>
    <w:uiPriority w:val="99"/>
    <w:unhideWhenUsed/>
    <w:rsid w:val="00C61FC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FC4"/>
  </w:style>
  <w:style w:type="paragraph" w:customStyle="1" w:styleId="a2">
    <w:basedOn w:val="Normal"/>
    <w:next w:val="Altbilgi"/>
    <w:rsid w:val="00C61FC4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61FC4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61FC4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5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11</cp:revision>
  <cp:lastPrinted>2019-05-13T12:22:00Z</cp:lastPrinted>
  <dcterms:created xsi:type="dcterms:W3CDTF">2019-01-29T08:52:00Z</dcterms:created>
  <dcterms:modified xsi:type="dcterms:W3CDTF">2022-07-28T13:06:00Z</dcterms:modified>
</cp:coreProperties>
</file>