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67" w:rsidRPr="009969EC" w:rsidRDefault="00751E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4"/>
          <w:szCs w:val="24"/>
        </w:rPr>
      </w:pPr>
    </w:p>
    <w:tbl>
      <w:tblPr>
        <w:tblStyle w:val="a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7081"/>
      </w:tblGrid>
      <w:tr w:rsidR="00751E67" w:rsidRPr="009969EC" w:rsidTr="006C143D"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67" w:rsidRPr="009969EC" w:rsidRDefault="00CD0A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969EC">
              <w:rPr>
                <w:rFonts w:eastAsia="Arial"/>
                <w:b/>
                <w:color w:val="000000"/>
                <w:sz w:val="24"/>
                <w:szCs w:val="24"/>
              </w:rPr>
              <w:t>Revizyon İzleme Tablosu</w:t>
            </w:r>
          </w:p>
        </w:tc>
      </w:tr>
      <w:tr w:rsidR="00751E67" w:rsidRPr="009969EC" w:rsidTr="006C143D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67" w:rsidRPr="009969EC" w:rsidRDefault="00CD0A85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9969EC">
              <w:rPr>
                <w:rFonts w:eastAsia="Arial"/>
                <w:b/>
                <w:color w:val="000000"/>
                <w:sz w:val="24"/>
                <w:szCs w:val="24"/>
              </w:rPr>
              <w:t>Rev</w:t>
            </w:r>
            <w:proofErr w:type="spellEnd"/>
            <w:r w:rsidRPr="009969EC">
              <w:rPr>
                <w:rFonts w:eastAsia="Arial"/>
                <w:b/>
                <w:color w:val="000000"/>
                <w:sz w:val="24"/>
                <w:szCs w:val="24"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67" w:rsidRPr="009969EC" w:rsidRDefault="00CD0A85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9969EC">
              <w:rPr>
                <w:rFonts w:eastAsia="Arial"/>
                <w:b/>
                <w:color w:val="000000"/>
                <w:sz w:val="24"/>
                <w:szCs w:val="24"/>
              </w:rPr>
              <w:t>Rev</w:t>
            </w:r>
            <w:proofErr w:type="spellEnd"/>
            <w:r w:rsidRPr="009969EC">
              <w:rPr>
                <w:rFonts w:eastAsia="Arial"/>
                <w:b/>
                <w:color w:val="000000"/>
                <w:sz w:val="24"/>
                <w:szCs w:val="24"/>
              </w:rPr>
              <w:t>. Tarihi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67" w:rsidRPr="009969EC" w:rsidRDefault="00CD0A85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969EC">
              <w:rPr>
                <w:rFonts w:eastAsia="Arial"/>
                <w:b/>
                <w:color w:val="000000"/>
                <w:sz w:val="24"/>
                <w:szCs w:val="24"/>
              </w:rPr>
              <w:t>Açıklama</w:t>
            </w:r>
          </w:p>
        </w:tc>
      </w:tr>
      <w:tr w:rsidR="00751E67" w:rsidRPr="009969EC" w:rsidTr="006C143D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67" w:rsidRPr="009969EC" w:rsidRDefault="00CD0A85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969EC">
              <w:rPr>
                <w:rFonts w:eastAsia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67" w:rsidRPr="009969EC" w:rsidRDefault="00751E67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67" w:rsidRPr="009969EC" w:rsidRDefault="00CD0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969EC">
              <w:rPr>
                <w:rFonts w:eastAsia="Arial"/>
                <w:color w:val="000000"/>
                <w:sz w:val="24"/>
                <w:szCs w:val="24"/>
              </w:rPr>
              <w:t>İlk Yayın</w:t>
            </w:r>
          </w:p>
        </w:tc>
      </w:tr>
    </w:tbl>
    <w:p w:rsidR="00751E67" w:rsidRPr="009969EC" w:rsidRDefault="00751E67">
      <w:pPr>
        <w:tabs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p w:rsidR="00751E67" w:rsidRPr="009969EC" w:rsidRDefault="00CD0A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969EC">
        <w:rPr>
          <w:rFonts w:eastAsia="Tahoma"/>
          <w:b/>
          <w:color w:val="000000"/>
          <w:sz w:val="24"/>
          <w:szCs w:val="24"/>
        </w:rPr>
        <w:t xml:space="preserve">AMAÇ </w:t>
      </w:r>
    </w:p>
    <w:p w:rsidR="00751E67" w:rsidRPr="009969EC" w:rsidRDefault="00CD0A8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  <w:r w:rsidRPr="009969EC">
        <w:rPr>
          <w:rFonts w:eastAsia="Tahoma"/>
          <w:color w:val="000000"/>
          <w:sz w:val="24"/>
          <w:szCs w:val="24"/>
        </w:rPr>
        <w:t xml:space="preserve">Bu politikanın amacı, </w:t>
      </w:r>
      <w:r w:rsidR="00245C37" w:rsidRPr="009969EC">
        <w:rPr>
          <w:rFonts w:eastAsia="Tahoma"/>
          <w:color w:val="000000"/>
          <w:sz w:val="24"/>
          <w:szCs w:val="24"/>
        </w:rPr>
        <w:t xml:space="preserve">Afyon Kocatepe </w:t>
      </w:r>
      <w:r w:rsidRPr="009969EC">
        <w:rPr>
          <w:rFonts w:eastAsia="Tahoma"/>
          <w:color w:val="000000"/>
          <w:sz w:val="24"/>
          <w:szCs w:val="24"/>
        </w:rPr>
        <w:t>Üniversitesi Bilgi İşlem Daire Başkanlığı</w:t>
      </w:r>
      <w:r w:rsidRPr="009969EC">
        <w:rPr>
          <w:rFonts w:eastAsia="Tahoma"/>
          <w:b/>
          <w:color w:val="000000"/>
          <w:sz w:val="24"/>
          <w:szCs w:val="24"/>
        </w:rPr>
        <w:t xml:space="preserve"> </w:t>
      </w:r>
      <w:r w:rsidRPr="009969EC">
        <w:rPr>
          <w:rFonts w:eastAsia="Tahoma"/>
          <w:color w:val="000000"/>
          <w:sz w:val="24"/>
          <w:szCs w:val="24"/>
        </w:rPr>
        <w:t xml:space="preserve">personelinin, hızla değişen bilişim güvenliği ve güvenlik tehlikeleri konusunda bilgilendirilmesini sağlayacak koşulları oluşturmaktır.  </w:t>
      </w:r>
    </w:p>
    <w:p w:rsidR="00751E67" w:rsidRPr="009969EC" w:rsidRDefault="00751E6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p w:rsidR="00751E67" w:rsidRPr="009969EC" w:rsidRDefault="00CD0A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969EC">
        <w:rPr>
          <w:rFonts w:eastAsia="Tahoma"/>
          <w:b/>
          <w:color w:val="000000"/>
          <w:sz w:val="24"/>
          <w:szCs w:val="24"/>
        </w:rPr>
        <w:t xml:space="preserve">KAPSAM </w:t>
      </w:r>
    </w:p>
    <w:p w:rsidR="00751E67" w:rsidRPr="009969EC" w:rsidRDefault="00CD0A8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  <w:r w:rsidRPr="009969EC">
        <w:rPr>
          <w:rFonts w:eastAsia="Tahoma"/>
          <w:color w:val="000000"/>
          <w:sz w:val="24"/>
          <w:szCs w:val="24"/>
        </w:rPr>
        <w:t xml:space="preserve">Bu politika tüm </w:t>
      </w:r>
      <w:r w:rsidR="00245C37" w:rsidRPr="009969EC">
        <w:rPr>
          <w:rFonts w:eastAsia="Tahoma"/>
          <w:color w:val="000000"/>
          <w:sz w:val="24"/>
          <w:szCs w:val="24"/>
        </w:rPr>
        <w:t xml:space="preserve">Afyon Kocatepe </w:t>
      </w:r>
      <w:r w:rsidRPr="009969EC">
        <w:rPr>
          <w:rFonts w:eastAsia="Tahoma"/>
          <w:color w:val="000000"/>
          <w:sz w:val="24"/>
          <w:szCs w:val="24"/>
        </w:rPr>
        <w:t>Bilgi İşlem Daire Başkanlığı</w:t>
      </w:r>
      <w:r w:rsidRPr="009969EC">
        <w:rPr>
          <w:rFonts w:eastAsia="Tahoma"/>
          <w:b/>
          <w:color w:val="000000"/>
          <w:sz w:val="24"/>
          <w:szCs w:val="24"/>
        </w:rPr>
        <w:t xml:space="preserve"> </w:t>
      </w:r>
      <w:r w:rsidRPr="009969EC">
        <w:rPr>
          <w:rFonts w:eastAsia="Tahoma"/>
          <w:color w:val="000000"/>
          <w:sz w:val="24"/>
          <w:szCs w:val="24"/>
        </w:rPr>
        <w:t>Üniversitesi kuruluş personelinin güvenlik bilinçlendirilmesi içindir.</w:t>
      </w:r>
    </w:p>
    <w:p w:rsidR="00751E67" w:rsidRPr="009969EC" w:rsidRDefault="00751E6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p w:rsidR="00751E67" w:rsidRPr="009969EC" w:rsidRDefault="00CD0A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969EC">
        <w:rPr>
          <w:rFonts w:eastAsia="Tahoma"/>
          <w:b/>
          <w:color w:val="000000"/>
          <w:sz w:val="24"/>
          <w:szCs w:val="24"/>
        </w:rPr>
        <w:t>UYGULAMA</w:t>
      </w:r>
    </w:p>
    <w:p w:rsidR="00751E67" w:rsidRPr="009969EC" w:rsidRDefault="00245C37" w:rsidP="003646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969EC">
        <w:rPr>
          <w:rFonts w:eastAsia="Tahoma"/>
          <w:color w:val="000000"/>
          <w:sz w:val="24"/>
          <w:szCs w:val="24"/>
        </w:rPr>
        <w:t xml:space="preserve">Afyon Kocatepe </w:t>
      </w:r>
      <w:r w:rsidR="00CD0A85" w:rsidRPr="009969EC">
        <w:rPr>
          <w:rFonts w:eastAsia="Tahoma"/>
          <w:color w:val="000000"/>
          <w:sz w:val="24"/>
          <w:szCs w:val="24"/>
        </w:rPr>
        <w:t xml:space="preserve">Üniversitesi Bilgi İşlem Daire Başkanlığı tüm personelin yıllık en az bir kez iştirak etmesinin zorunlu olduğu güvenlik bilgilendirme toplantı ve seminerleri düzenleyecektir. Eğitim notları, ihtiyaçlara göre güncellenerek her yıl </w:t>
      </w:r>
      <w:r w:rsidR="003646A0" w:rsidRPr="009969EC">
        <w:rPr>
          <w:rFonts w:eastAsia="Tahoma"/>
          <w:color w:val="000000"/>
          <w:sz w:val="24"/>
          <w:szCs w:val="24"/>
        </w:rPr>
        <w:t>kurum</w:t>
      </w:r>
      <w:r w:rsidR="00CD0A85" w:rsidRPr="009969EC">
        <w:rPr>
          <w:rFonts w:eastAsia="Tahoma"/>
          <w:color w:val="000000"/>
          <w:sz w:val="24"/>
          <w:szCs w:val="24"/>
        </w:rPr>
        <w:t xml:space="preserve"> portal üzerinden elektronik ortamda tekrarlanacaktır.</w:t>
      </w:r>
    </w:p>
    <w:p w:rsidR="00751E67" w:rsidRPr="009969EC" w:rsidRDefault="00CD0A85" w:rsidP="003646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969EC">
        <w:rPr>
          <w:rFonts w:eastAsia="Tahoma"/>
          <w:color w:val="000000"/>
          <w:sz w:val="24"/>
          <w:szCs w:val="24"/>
        </w:rPr>
        <w:t xml:space="preserve">Gerekli olduğunda, </w:t>
      </w:r>
      <w:r w:rsidR="003646A0" w:rsidRPr="009969EC">
        <w:rPr>
          <w:rFonts w:eastAsia="Tahoma"/>
          <w:color w:val="000000"/>
          <w:sz w:val="24"/>
          <w:szCs w:val="24"/>
        </w:rPr>
        <w:t>başkanlık</w:t>
      </w:r>
      <w:r w:rsidRPr="009969EC">
        <w:rPr>
          <w:rFonts w:eastAsia="Tahoma"/>
          <w:color w:val="000000"/>
          <w:sz w:val="24"/>
          <w:szCs w:val="24"/>
        </w:rPr>
        <w:t xml:space="preserve"> Bilişim Güvenlik Bilincinin</w:t>
      </w:r>
      <w:r w:rsidR="003646A0" w:rsidRPr="009969EC">
        <w:rPr>
          <w:rFonts w:eastAsia="Tahoma"/>
          <w:color w:val="000000"/>
          <w:sz w:val="24"/>
          <w:szCs w:val="24"/>
        </w:rPr>
        <w:t xml:space="preserve"> kurum</w:t>
      </w:r>
      <w:r w:rsidRPr="009969EC">
        <w:rPr>
          <w:rFonts w:eastAsia="Tahoma"/>
          <w:color w:val="000000"/>
          <w:sz w:val="24"/>
          <w:szCs w:val="24"/>
        </w:rPr>
        <w:t xml:space="preserve"> içinde oluşturulması için gerekli planları yapacaktır.</w:t>
      </w:r>
    </w:p>
    <w:p w:rsidR="00751E67" w:rsidRPr="009969EC" w:rsidRDefault="00245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969EC">
        <w:rPr>
          <w:rFonts w:eastAsia="Tahoma"/>
          <w:color w:val="000000"/>
          <w:sz w:val="24"/>
          <w:szCs w:val="24"/>
        </w:rPr>
        <w:t xml:space="preserve">Afyon Kocatepe </w:t>
      </w:r>
      <w:r w:rsidR="00CD0A85" w:rsidRPr="009969EC">
        <w:rPr>
          <w:rFonts w:eastAsia="Tahoma"/>
          <w:color w:val="000000"/>
          <w:sz w:val="24"/>
          <w:szCs w:val="24"/>
        </w:rPr>
        <w:t>Üniversitesi Bilgi İşlem Daire Başkanlığı</w:t>
      </w:r>
      <w:r w:rsidR="00CD0A85" w:rsidRPr="009969EC">
        <w:rPr>
          <w:rFonts w:eastAsia="Tahoma"/>
          <w:sz w:val="24"/>
          <w:szCs w:val="24"/>
        </w:rPr>
        <w:t xml:space="preserve"> </w:t>
      </w:r>
      <w:r w:rsidR="00CD0A85" w:rsidRPr="009969EC">
        <w:rPr>
          <w:rFonts w:eastAsia="Tahoma"/>
          <w:color w:val="000000"/>
          <w:sz w:val="24"/>
          <w:szCs w:val="24"/>
        </w:rPr>
        <w:t xml:space="preserve">tarafından organize edilecek güvenlik program ve eğitimlerine iştirak ederek bu konudaki bilgilerinin güncelliğini sağlamak herkesin görevidir.  </w:t>
      </w:r>
    </w:p>
    <w:p w:rsidR="00751E67" w:rsidRPr="009969EC" w:rsidRDefault="00245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969EC">
        <w:rPr>
          <w:rFonts w:eastAsia="Tahoma"/>
          <w:color w:val="000000"/>
          <w:sz w:val="24"/>
          <w:szCs w:val="24"/>
        </w:rPr>
        <w:t xml:space="preserve">Afyon Kocatepe </w:t>
      </w:r>
      <w:r w:rsidR="00CD0A85" w:rsidRPr="009969EC">
        <w:rPr>
          <w:rFonts w:eastAsia="Tahoma"/>
          <w:color w:val="000000"/>
          <w:sz w:val="24"/>
          <w:szCs w:val="24"/>
        </w:rPr>
        <w:t>Üniversitesi Bilgi İşlem Daire Başkanlığı Bilgi Güvenlik Bilinçlendirme Prosedürleri uygulanacaktır.</w:t>
      </w:r>
    </w:p>
    <w:p w:rsidR="00751E67" w:rsidRPr="009969EC" w:rsidRDefault="00CD0A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969EC">
        <w:rPr>
          <w:rFonts w:eastAsia="Tahoma"/>
          <w:color w:val="000000"/>
          <w:sz w:val="24"/>
          <w:szCs w:val="24"/>
        </w:rPr>
        <w:t>Yöneticiler Bilgi Güvenlik Yönetimi Sistemi, Güvenlik Politika ve Prosedürleri, Risk Yönetimi konularında bilinçlendirilecektir.</w:t>
      </w:r>
    </w:p>
    <w:p w:rsidR="00751E67" w:rsidRDefault="00CD0A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969EC">
        <w:rPr>
          <w:rFonts w:eastAsia="Tahoma"/>
          <w:color w:val="000000"/>
          <w:sz w:val="24"/>
          <w:szCs w:val="24"/>
        </w:rPr>
        <w:t xml:space="preserve">Kullanıcılar; yeni güvenlik tehditleri, Güvenlik Politika ve Prosedürleri konularında bilinçlendirilecektir.  </w:t>
      </w:r>
    </w:p>
    <w:p w:rsidR="000F5155" w:rsidRPr="009969EC" w:rsidRDefault="000F5155" w:rsidP="000F515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p w:rsidR="00751E67" w:rsidRPr="009969EC" w:rsidRDefault="00CD0A85" w:rsidP="003646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969EC">
        <w:rPr>
          <w:rFonts w:eastAsia="Tahoma"/>
          <w:color w:val="000000"/>
          <w:sz w:val="24"/>
          <w:szCs w:val="24"/>
        </w:rPr>
        <w:lastRenderedPageBreak/>
        <w:t xml:space="preserve">Teknik personel güvenlik eğitimi, ISO 27001 Etki alanları konusunda </w:t>
      </w:r>
      <w:r w:rsidR="003646A0" w:rsidRPr="009969EC">
        <w:rPr>
          <w:rFonts w:eastAsia="Tahoma"/>
          <w:color w:val="000000"/>
          <w:sz w:val="24"/>
          <w:szCs w:val="24"/>
        </w:rPr>
        <w:t>bilgili</w:t>
      </w:r>
      <w:r w:rsidRPr="009969EC">
        <w:rPr>
          <w:rFonts w:eastAsia="Tahoma"/>
          <w:color w:val="000000"/>
          <w:sz w:val="24"/>
          <w:szCs w:val="24"/>
        </w:rPr>
        <w:t xml:space="preserve"> olacak, gerekirse bu konuda deneyimli firmalardan destek alınacaktır.</w:t>
      </w:r>
    </w:p>
    <w:p w:rsidR="00751E67" w:rsidRPr="009969EC" w:rsidRDefault="00CD0A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969EC">
        <w:rPr>
          <w:rFonts w:eastAsia="Tahoma"/>
          <w:color w:val="000000"/>
          <w:sz w:val="24"/>
          <w:szCs w:val="24"/>
        </w:rPr>
        <w:t xml:space="preserve">Güvenlik bilinçlendirme ve eğitimleri sürekli olacaktır. </w:t>
      </w:r>
    </w:p>
    <w:p w:rsidR="00751E67" w:rsidRPr="009969EC" w:rsidRDefault="00751E67">
      <w:pPr>
        <w:tabs>
          <w:tab w:val="left" w:pos="284"/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p w:rsidR="00751E67" w:rsidRPr="009969EC" w:rsidRDefault="00CD0A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969EC">
        <w:rPr>
          <w:rFonts w:eastAsia="Tahoma"/>
          <w:b/>
          <w:color w:val="000000"/>
          <w:sz w:val="24"/>
          <w:szCs w:val="24"/>
        </w:rPr>
        <w:t>YAPTIRIM</w:t>
      </w:r>
    </w:p>
    <w:p w:rsidR="00751E67" w:rsidRPr="009969EC" w:rsidRDefault="00CD0A85">
      <w:pPr>
        <w:widowControl w:val="0"/>
        <w:tabs>
          <w:tab w:val="left" w:pos="426"/>
        </w:tabs>
        <w:spacing w:before="34" w:line="276" w:lineRule="auto"/>
        <w:ind w:right="349"/>
        <w:jc w:val="both"/>
        <w:rPr>
          <w:rFonts w:eastAsia="Tahoma"/>
          <w:color w:val="000000"/>
          <w:sz w:val="24"/>
          <w:szCs w:val="24"/>
        </w:rPr>
      </w:pPr>
      <w:r w:rsidRPr="009969EC">
        <w:rPr>
          <w:rFonts w:eastAsia="Tahoma"/>
          <w:color w:val="000000"/>
          <w:sz w:val="24"/>
          <w:szCs w:val="24"/>
        </w:rPr>
        <w:t xml:space="preserve">Bu politikaya uygun olarak çalışmayan tüm personel hakkında </w:t>
      </w:r>
      <w:r w:rsidRPr="009969EC">
        <w:rPr>
          <w:rFonts w:eastAsia="Tahoma"/>
          <w:b/>
          <w:color w:val="0033CC"/>
          <w:sz w:val="24"/>
          <w:szCs w:val="24"/>
        </w:rPr>
        <w:t>Disiplin Prosedürü</w:t>
      </w:r>
      <w:r w:rsidRPr="009969EC">
        <w:rPr>
          <w:rFonts w:eastAsia="Tahoma"/>
          <w:color w:val="000000"/>
          <w:sz w:val="24"/>
          <w:szCs w:val="24"/>
        </w:rPr>
        <w:t xml:space="preserve"> hükümleri uygulanır.</w:t>
      </w:r>
    </w:p>
    <w:p w:rsidR="00751E67" w:rsidRPr="009969EC" w:rsidRDefault="00751E67">
      <w:pPr>
        <w:tabs>
          <w:tab w:val="left" w:pos="284"/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p w:rsidR="00751E67" w:rsidRPr="009969EC" w:rsidRDefault="00751E67">
      <w:pPr>
        <w:tabs>
          <w:tab w:val="left" w:pos="284"/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sectPr w:rsidR="00751E67" w:rsidRPr="009969EC" w:rsidSect="000F5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0" w:footer="85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2E" w:rsidRDefault="00FA412E">
      <w:r>
        <w:separator/>
      </w:r>
    </w:p>
  </w:endnote>
  <w:endnote w:type="continuationSeparator" w:id="0">
    <w:p w:rsidR="00FA412E" w:rsidRDefault="00FA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3D" w:rsidRDefault="006C14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1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283"/>
      <w:gridCol w:w="2283"/>
      <w:gridCol w:w="3021"/>
    </w:tblGrid>
    <w:tr w:rsidR="00245C37" w:rsidRPr="00245C37" w:rsidTr="006C143D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:rsidR="00245C37" w:rsidRPr="00245C37" w:rsidRDefault="00245C37" w:rsidP="00245C37">
          <w:pPr>
            <w:pStyle w:val="Altbilgi"/>
            <w:spacing w:before="60"/>
            <w:rPr>
              <w:rFonts w:ascii="Arial" w:hAnsi="Arial" w:cs="Arial"/>
              <w:b/>
              <w:color w:val="auto"/>
            </w:rPr>
          </w:pPr>
          <w:r w:rsidRPr="00245C37">
            <w:rPr>
              <w:rFonts w:ascii="Arial" w:hAnsi="Arial" w:cs="Arial"/>
              <w:b/>
              <w:color w:val="auto"/>
            </w:rPr>
            <w:t>Revizyon Nedeni:</w:t>
          </w:r>
        </w:p>
      </w:tc>
      <w:tc>
        <w:tcPr>
          <w:tcW w:w="2283" w:type="dxa"/>
          <w:vAlign w:val="center"/>
        </w:tcPr>
        <w:p w:rsidR="00245C37" w:rsidRPr="00245C37" w:rsidRDefault="00245C37" w:rsidP="00245C37">
          <w:pPr>
            <w:pStyle w:val="Altbilgi"/>
            <w:jc w:val="center"/>
            <w:rPr>
              <w:rFonts w:ascii="Arial" w:hAnsi="Arial" w:cs="Arial"/>
              <w:b/>
              <w:color w:val="auto"/>
            </w:rPr>
          </w:pPr>
          <w:r w:rsidRPr="00245C37">
            <w:rPr>
              <w:rFonts w:ascii="Arial" w:hAnsi="Arial" w:cs="Arial"/>
              <w:b/>
              <w:color w:val="auto"/>
            </w:rPr>
            <w:t>Hazırlayan</w:t>
          </w:r>
        </w:p>
      </w:tc>
      <w:tc>
        <w:tcPr>
          <w:tcW w:w="2283" w:type="dxa"/>
          <w:vAlign w:val="center"/>
        </w:tcPr>
        <w:p w:rsidR="00245C37" w:rsidRPr="00245C37" w:rsidRDefault="00245C37" w:rsidP="00245C37">
          <w:pPr>
            <w:pStyle w:val="Altbilgi"/>
            <w:jc w:val="center"/>
            <w:rPr>
              <w:rFonts w:ascii="Arial" w:hAnsi="Arial" w:cs="Arial"/>
              <w:b/>
              <w:color w:val="auto"/>
            </w:rPr>
          </w:pPr>
          <w:r w:rsidRPr="00245C37">
            <w:rPr>
              <w:rFonts w:ascii="Arial" w:hAnsi="Arial" w:cs="Arial"/>
              <w:b/>
              <w:color w:val="auto"/>
            </w:rPr>
            <w:t>Kontrol Eden</w:t>
          </w:r>
        </w:p>
      </w:tc>
      <w:tc>
        <w:tcPr>
          <w:tcW w:w="3021" w:type="dxa"/>
        </w:tcPr>
        <w:p w:rsidR="00245C37" w:rsidRPr="00245C37" w:rsidRDefault="00245C37" w:rsidP="00245C37">
          <w:pPr>
            <w:pStyle w:val="Altbilgi"/>
            <w:jc w:val="center"/>
            <w:rPr>
              <w:rFonts w:ascii="Arial" w:hAnsi="Arial" w:cs="Arial"/>
              <w:b/>
              <w:color w:val="auto"/>
            </w:rPr>
          </w:pPr>
          <w:r w:rsidRPr="00245C37">
            <w:rPr>
              <w:rFonts w:ascii="Arial" w:hAnsi="Arial" w:cs="Arial"/>
              <w:b/>
              <w:color w:val="auto"/>
            </w:rPr>
            <w:t>Onaylayan</w:t>
          </w:r>
        </w:p>
      </w:tc>
    </w:tr>
    <w:tr w:rsidR="00245C37" w:rsidRPr="00245C37" w:rsidTr="006C143D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:rsidR="00245C37" w:rsidRPr="00885221" w:rsidRDefault="00245C37" w:rsidP="00245C37">
          <w:pPr>
            <w:pStyle w:val="Altbilgi"/>
            <w:rPr>
              <w:color w:val="auto"/>
              <w:sz w:val="24"/>
              <w:szCs w:val="24"/>
            </w:rPr>
          </w:pPr>
        </w:p>
      </w:tc>
      <w:tc>
        <w:tcPr>
          <w:tcW w:w="2283" w:type="dxa"/>
          <w:vAlign w:val="center"/>
        </w:tcPr>
        <w:p w:rsidR="00245C37" w:rsidRPr="00245C37" w:rsidRDefault="00245C37" w:rsidP="00245C37">
          <w:pPr>
            <w:jc w:val="center"/>
            <w:rPr>
              <w:rFonts w:ascii="Arial" w:hAnsi="Arial" w:cs="Arial"/>
              <w:color w:val="auto"/>
            </w:rPr>
          </w:pPr>
          <w:r w:rsidRPr="00245C37">
            <w:rPr>
              <w:rFonts w:ascii="Arial" w:hAnsi="Arial" w:cs="Arial"/>
              <w:color w:val="auto"/>
            </w:rPr>
            <w:t>BGYS Yöneticisi</w:t>
          </w:r>
        </w:p>
      </w:tc>
      <w:tc>
        <w:tcPr>
          <w:tcW w:w="2283" w:type="dxa"/>
          <w:vAlign w:val="center"/>
        </w:tcPr>
        <w:p w:rsidR="00245C37" w:rsidRPr="00245C37" w:rsidRDefault="00245C37" w:rsidP="00245C37">
          <w:pPr>
            <w:jc w:val="center"/>
            <w:rPr>
              <w:rFonts w:ascii="Arial" w:hAnsi="Arial" w:cs="Arial"/>
              <w:color w:val="auto"/>
            </w:rPr>
          </w:pPr>
          <w:r w:rsidRPr="00245C37">
            <w:rPr>
              <w:rFonts w:ascii="Arial" w:hAnsi="Arial" w:cs="Arial"/>
              <w:color w:val="auto"/>
            </w:rPr>
            <w:t>BGYS Üst Yönetim Temsilcisi</w:t>
          </w:r>
        </w:p>
      </w:tc>
      <w:tc>
        <w:tcPr>
          <w:tcW w:w="3021" w:type="dxa"/>
        </w:tcPr>
        <w:p w:rsidR="00245C37" w:rsidRPr="00245C37" w:rsidRDefault="00245C37" w:rsidP="00245C37">
          <w:pPr>
            <w:jc w:val="center"/>
            <w:rPr>
              <w:rFonts w:ascii="Arial" w:hAnsi="Arial" w:cs="Arial"/>
              <w:color w:val="auto"/>
            </w:rPr>
          </w:pPr>
          <w:r w:rsidRPr="00245C37">
            <w:rPr>
              <w:rFonts w:ascii="Arial" w:hAnsi="Arial" w:cs="Arial"/>
              <w:color w:val="auto"/>
            </w:rPr>
            <w:t>Üst Yönetim</w:t>
          </w:r>
        </w:p>
      </w:tc>
    </w:tr>
    <w:tr w:rsidR="00885221" w:rsidRPr="00245C37" w:rsidTr="005B191F">
      <w:trPr>
        <w:cantSplit/>
        <w:trHeight w:val="1070"/>
      </w:trPr>
      <w:tc>
        <w:tcPr>
          <w:tcW w:w="2374" w:type="dxa"/>
          <w:vMerge/>
          <w:vAlign w:val="center"/>
        </w:tcPr>
        <w:p w:rsidR="00885221" w:rsidRPr="00245C37" w:rsidRDefault="00885221" w:rsidP="00245C37">
          <w:pPr>
            <w:pStyle w:val="Altbilgi"/>
            <w:jc w:val="center"/>
            <w:rPr>
              <w:rFonts w:ascii="Arial" w:hAnsi="Arial" w:cs="Arial"/>
              <w:color w:val="auto"/>
            </w:rPr>
          </w:pPr>
          <w:bookmarkStart w:id="0" w:name="_GoBack" w:colFirst="1" w:colLast="3"/>
        </w:p>
      </w:tc>
      <w:tc>
        <w:tcPr>
          <w:tcW w:w="2283" w:type="dxa"/>
        </w:tcPr>
        <w:p w:rsidR="00885221" w:rsidRPr="00885221" w:rsidRDefault="00885221" w:rsidP="00885221">
          <w:pPr>
            <w:jc w:val="center"/>
            <w:rPr>
              <w:color w:val="auto"/>
              <w:sz w:val="24"/>
              <w:szCs w:val="24"/>
            </w:rPr>
          </w:pPr>
          <w:r w:rsidRPr="00885221">
            <w:rPr>
              <w:color w:val="auto"/>
              <w:sz w:val="24"/>
              <w:szCs w:val="24"/>
            </w:rPr>
            <w:t>BGYS Yöneticisi</w:t>
          </w:r>
        </w:p>
      </w:tc>
      <w:tc>
        <w:tcPr>
          <w:tcW w:w="2283" w:type="dxa"/>
        </w:tcPr>
        <w:p w:rsidR="00885221" w:rsidRPr="00885221" w:rsidRDefault="00885221" w:rsidP="00885221">
          <w:pPr>
            <w:jc w:val="center"/>
            <w:rPr>
              <w:color w:val="auto"/>
              <w:sz w:val="24"/>
              <w:szCs w:val="24"/>
            </w:rPr>
          </w:pPr>
          <w:r w:rsidRPr="00885221">
            <w:rPr>
              <w:color w:val="auto"/>
              <w:sz w:val="24"/>
              <w:szCs w:val="24"/>
            </w:rPr>
            <w:t>Bilgi İşlem Daire Başkanı</w:t>
          </w:r>
        </w:p>
      </w:tc>
      <w:tc>
        <w:tcPr>
          <w:tcW w:w="3021" w:type="dxa"/>
        </w:tcPr>
        <w:p w:rsidR="00885221" w:rsidRPr="00885221" w:rsidRDefault="00885221" w:rsidP="00885221">
          <w:pPr>
            <w:jc w:val="center"/>
            <w:rPr>
              <w:color w:val="auto"/>
              <w:sz w:val="24"/>
              <w:szCs w:val="24"/>
            </w:rPr>
          </w:pPr>
          <w:r w:rsidRPr="00885221">
            <w:rPr>
              <w:color w:val="auto"/>
              <w:sz w:val="24"/>
              <w:szCs w:val="24"/>
            </w:rPr>
            <w:t>Rektör</w:t>
          </w:r>
        </w:p>
      </w:tc>
    </w:tr>
    <w:bookmarkEnd w:id="0"/>
  </w:tbl>
  <w:p w:rsidR="00245C37" w:rsidRPr="00245C37" w:rsidRDefault="00245C37" w:rsidP="00245C37">
    <w:pPr>
      <w:pStyle w:val="Altbilgi"/>
      <w:rPr>
        <w:color w:val="auto"/>
      </w:rPr>
    </w:pPr>
  </w:p>
  <w:p w:rsidR="00245C37" w:rsidRPr="00245C37" w:rsidRDefault="00245C37" w:rsidP="00245C37">
    <w:pPr>
      <w:pStyle w:val="Altbilgi"/>
      <w:rPr>
        <w:color w:val="auto"/>
      </w:rPr>
    </w:pPr>
  </w:p>
  <w:p w:rsidR="00245C37" w:rsidRPr="00245C37" w:rsidRDefault="00245C37" w:rsidP="00245C37">
    <w:pPr>
      <w:pStyle w:val="Altbilgi"/>
      <w:rPr>
        <w:color w:val="auto"/>
      </w:rPr>
    </w:pPr>
  </w:p>
  <w:p w:rsidR="00751E67" w:rsidRPr="00245C37" w:rsidRDefault="00751E67" w:rsidP="00245C37">
    <w:pPr>
      <w:pStyle w:val="Altbilgi"/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3D" w:rsidRDefault="006C14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2E" w:rsidRDefault="00FA412E">
      <w:r>
        <w:separator/>
      </w:r>
    </w:p>
  </w:footnote>
  <w:footnote w:type="continuationSeparator" w:id="0">
    <w:p w:rsidR="00FA412E" w:rsidRDefault="00FA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3D" w:rsidRDefault="006C14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67" w:rsidRDefault="00751E6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</w:rPr>
    </w:pPr>
  </w:p>
  <w:tbl>
    <w:tblPr>
      <w:tblStyle w:val="a0"/>
      <w:tblW w:w="985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30"/>
      <w:gridCol w:w="3886"/>
      <w:gridCol w:w="1559"/>
      <w:gridCol w:w="1276"/>
    </w:tblGrid>
    <w:tr w:rsidR="00751E67" w:rsidTr="006C143D">
      <w:trPr>
        <w:trHeight w:val="260"/>
      </w:trPr>
      <w:tc>
        <w:tcPr>
          <w:tcW w:w="31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51E67" w:rsidRDefault="000F51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eastAsia="tr-TR"/>
            </w:rPr>
            <w:drawing>
              <wp:inline distT="0" distB="0" distL="0" distR="0" wp14:anchorId="51F8F63A" wp14:editId="570AEBFB">
                <wp:extent cx="974725" cy="1009015"/>
                <wp:effectExtent l="0" t="0" r="0" b="635"/>
                <wp:docPr id="4" name="Resim 4" descr="C:\Users\Administrator\Desktop\PROJELER\AFYON KOCATEPE ÜNİVERSİTESİ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Administrator\Desktop\PROJELER\AFYON KOCATEPE ÜNİVERSİTESİ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51E67" w:rsidRDefault="00CD0A8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51E67" w:rsidRDefault="00CD0A85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SAYFA NO             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51E67" w:rsidRDefault="00CD0A85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885221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885221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2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</w:p>
      </w:tc>
    </w:tr>
    <w:tr w:rsidR="00751E67" w:rsidTr="006C143D">
      <w:trPr>
        <w:trHeight w:val="160"/>
      </w:trPr>
      <w:tc>
        <w:tcPr>
          <w:tcW w:w="31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51E67" w:rsidRDefault="00751E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8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51E67" w:rsidRDefault="00751E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51E67" w:rsidRDefault="00CD0A85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DOKÜMAN NO   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51E67" w:rsidRDefault="00CD0A85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BGYS.PLT.28</w:t>
          </w:r>
        </w:p>
      </w:tc>
    </w:tr>
    <w:tr w:rsidR="00751E67" w:rsidTr="006C143D">
      <w:trPr>
        <w:trHeight w:val="260"/>
      </w:trPr>
      <w:tc>
        <w:tcPr>
          <w:tcW w:w="31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51E67" w:rsidRDefault="00751E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8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51E67" w:rsidRDefault="00751E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51E67" w:rsidRDefault="00CD0A85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YAYIN TAR.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51E67" w:rsidRDefault="00245C37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color w:val="000000"/>
            </w:rPr>
            <w:t>07.01.2019</w:t>
          </w:r>
        </w:p>
      </w:tc>
    </w:tr>
    <w:tr w:rsidR="00751E67" w:rsidTr="006C143D">
      <w:trPr>
        <w:trHeight w:val="160"/>
      </w:trPr>
      <w:tc>
        <w:tcPr>
          <w:tcW w:w="31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51E67" w:rsidRDefault="00751E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8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51E67" w:rsidRDefault="00751E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51E67" w:rsidRDefault="00CD0A85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REVİZYON NO   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51E67" w:rsidRDefault="00CD0A85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00</w:t>
          </w:r>
        </w:p>
      </w:tc>
    </w:tr>
    <w:tr w:rsidR="00751E67" w:rsidTr="006C143D">
      <w:trPr>
        <w:trHeight w:val="160"/>
      </w:trPr>
      <w:tc>
        <w:tcPr>
          <w:tcW w:w="31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51E67" w:rsidRDefault="00751E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8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51E67" w:rsidRDefault="00751E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51E67" w:rsidRDefault="00CD0A85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REVİZYON TARİHİ 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51E67" w:rsidRDefault="00CD0A85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color w:val="000000"/>
            </w:rPr>
            <w:t>-</w:t>
          </w:r>
        </w:p>
      </w:tc>
    </w:tr>
    <w:tr w:rsidR="00751E67" w:rsidTr="006C143D">
      <w:trPr>
        <w:trHeight w:val="220"/>
      </w:trPr>
      <w:tc>
        <w:tcPr>
          <w:tcW w:w="31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51E67" w:rsidRDefault="00CD0A8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KONU</w:t>
          </w:r>
        </w:p>
      </w:tc>
      <w:tc>
        <w:tcPr>
          <w:tcW w:w="672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51E67" w:rsidRDefault="00CD0A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GÜVENLİK BİLİNCİ POLİTİKASI</w:t>
          </w:r>
        </w:p>
      </w:tc>
    </w:tr>
  </w:tbl>
  <w:p w:rsidR="00751E67" w:rsidRDefault="00751E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3D" w:rsidRDefault="006C14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DCF"/>
    <w:multiLevelType w:val="multilevel"/>
    <w:tmpl w:val="DC04494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3DA4E91"/>
    <w:multiLevelType w:val="multilevel"/>
    <w:tmpl w:val="BCDA904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1E67"/>
    <w:rsid w:val="0006694F"/>
    <w:rsid w:val="000A7AB8"/>
    <w:rsid w:val="000F5155"/>
    <w:rsid w:val="00245C37"/>
    <w:rsid w:val="003646A0"/>
    <w:rsid w:val="006C143D"/>
    <w:rsid w:val="006D3E11"/>
    <w:rsid w:val="00751E67"/>
    <w:rsid w:val="00885221"/>
    <w:rsid w:val="00977B80"/>
    <w:rsid w:val="009969EC"/>
    <w:rsid w:val="009B2C84"/>
    <w:rsid w:val="009F5495"/>
    <w:rsid w:val="00CD0A85"/>
    <w:rsid w:val="00F3669E"/>
    <w:rsid w:val="00FA412E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FF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45C37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5C37"/>
  </w:style>
  <w:style w:type="paragraph" w:styleId="Altbilgi">
    <w:name w:val="footer"/>
    <w:basedOn w:val="Normal"/>
    <w:link w:val="AltbilgiChar"/>
    <w:unhideWhenUsed/>
    <w:rsid w:val="00245C37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45C37"/>
  </w:style>
  <w:style w:type="paragraph" w:styleId="DzMetin">
    <w:name w:val="Plain Text"/>
    <w:basedOn w:val="Normal"/>
    <w:link w:val="DzMetinChar"/>
    <w:uiPriority w:val="99"/>
    <w:unhideWhenUsed/>
    <w:rsid w:val="00245C37"/>
    <w:rPr>
      <w:rFonts w:ascii="Calibri" w:eastAsia="Calibri" w:hAnsi="Calibri"/>
      <w:color w:val="auto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245C37"/>
    <w:rPr>
      <w:rFonts w:ascii="Calibri" w:eastAsia="Calibri" w:hAnsi="Calibri"/>
      <w:color w:val="auto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6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FF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45C37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5C37"/>
  </w:style>
  <w:style w:type="paragraph" w:styleId="Altbilgi">
    <w:name w:val="footer"/>
    <w:basedOn w:val="Normal"/>
    <w:link w:val="AltbilgiChar"/>
    <w:unhideWhenUsed/>
    <w:rsid w:val="00245C37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45C37"/>
  </w:style>
  <w:style w:type="paragraph" w:styleId="DzMetin">
    <w:name w:val="Plain Text"/>
    <w:basedOn w:val="Normal"/>
    <w:link w:val="DzMetinChar"/>
    <w:uiPriority w:val="99"/>
    <w:unhideWhenUsed/>
    <w:rsid w:val="00245C37"/>
    <w:rPr>
      <w:rFonts w:ascii="Calibri" w:eastAsia="Calibri" w:hAnsi="Calibri"/>
      <w:color w:val="auto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245C37"/>
    <w:rPr>
      <w:rFonts w:ascii="Calibri" w:eastAsia="Calibri" w:hAnsi="Calibri"/>
      <w:color w:val="auto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6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11</cp:revision>
  <cp:lastPrinted>2019-05-13T12:44:00Z</cp:lastPrinted>
  <dcterms:created xsi:type="dcterms:W3CDTF">2019-01-29T10:05:00Z</dcterms:created>
  <dcterms:modified xsi:type="dcterms:W3CDTF">2022-07-28T13:19:00Z</dcterms:modified>
</cp:coreProperties>
</file>